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6A092">
      <w:pPr>
        <w:jc w:val="center"/>
        <w:rPr>
          <w:rFonts w:hint="eastAsia" w:ascii="Times New Roman" w:hAnsi="Times New Roman" w:eastAsia="黑体" w:cs="Times New Roman"/>
          <w:sz w:val="36"/>
          <w:szCs w:val="36"/>
          <w:lang w:val="en-US" w:eastAsia="zh-CN"/>
        </w:rPr>
      </w:pPr>
      <w:r>
        <w:rPr>
          <w:rFonts w:hint="eastAsia" w:ascii="Times New Roman" w:hAnsi="Times New Roman" w:eastAsia="黑体" w:cs="Times New Roman"/>
          <w:sz w:val="36"/>
          <w:szCs w:val="36"/>
          <w:lang w:val="en-US" w:eastAsia="zh-CN"/>
        </w:rPr>
        <w:t>2026年度中国水资源战略研究会科学技术奖申报项目公示信息</w:t>
      </w:r>
    </w:p>
    <w:p w14:paraId="2D06C413">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ascii="Times New Roman" w:hAnsi="Times New Roman" w:eastAsia="仿宋" w:cs="Times New Roman"/>
          <w:color w:val="FF0000"/>
          <w:sz w:val="28"/>
          <w:szCs w:val="28"/>
        </w:rPr>
      </w:pPr>
      <w:r>
        <w:rPr>
          <w:rFonts w:ascii="Times New Roman" w:hAnsi="Times New Roman" w:eastAsia="黑体" w:cs="Times New Roman"/>
          <w:sz w:val="30"/>
          <w:szCs w:val="30"/>
        </w:rPr>
        <w:t>项目名称：</w:t>
      </w:r>
      <w:r>
        <w:rPr>
          <w:rFonts w:hint="eastAsia" w:ascii="Times New Roman" w:hAnsi="Times New Roman" w:eastAsia="仿宋" w:cs="Times New Roman"/>
          <w:bCs/>
          <w:color w:val="000000" w:themeColor="text1"/>
          <w:sz w:val="28"/>
          <w:szCs w:val="28"/>
          <w14:textFill>
            <w14:solidFill>
              <w14:schemeClr w14:val="tx1"/>
            </w14:solidFill>
          </w14:textFill>
        </w:rPr>
        <w:t>河流关键生物类群及主导生态服务对水文驱动的响应机制</w:t>
      </w:r>
    </w:p>
    <w:p w14:paraId="6A08CA23">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ascii="Times New Roman" w:hAnsi="Times New Roman" w:eastAsia="仿宋" w:cs="Times New Roman"/>
          <w:sz w:val="30"/>
          <w:szCs w:val="30"/>
        </w:rPr>
      </w:pPr>
      <w:r>
        <w:rPr>
          <w:rFonts w:ascii="Times New Roman" w:hAnsi="Times New Roman" w:eastAsia="黑体" w:cs="Times New Roman"/>
          <w:sz w:val="30"/>
          <w:szCs w:val="30"/>
        </w:rPr>
        <w:t>完成单位及排序：</w:t>
      </w:r>
    </w:p>
    <w:p w14:paraId="496F7775">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ascii="Times New Roman" w:hAnsi="Times New Roman" w:eastAsia="仿宋" w:cs="Times New Roman"/>
          <w:color w:val="000000" w:themeColor="text1"/>
          <w:sz w:val="30"/>
          <w:szCs w:val="30"/>
          <w14:textFill>
            <w14:solidFill>
              <w14:schemeClr w14:val="tx1"/>
            </w14:solidFill>
          </w14:textFill>
        </w:rPr>
      </w:pPr>
      <w:r>
        <w:rPr>
          <w:rFonts w:ascii="Times New Roman" w:hAnsi="Times New Roman" w:eastAsia="仿宋" w:cs="Times New Roman"/>
          <w:color w:val="000000" w:themeColor="text1"/>
          <w:sz w:val="30"/>
          <w:szCs w:val="30"/>
          <w14:textFill>
            <w14:solidFill>
              <w14:schemeClr w14:val="tx1"/>
            </w14:solidFill>
          </w14:textFill>
        </w:rPr>
        <w:t xml:space="preserve">    1.</w:t>
      </w:r>
      <w:r>
        <w:rPr>
          <w:rFonts w:ascii="Times New Roman" w:hAnsi="Times New Roman" w:eastAsia="仿宋" w:cs="Times New Roman"/>
          <w:b/>
          <w:bCs/>
          <w:color w:val="000000" w:themeColor="text1"/>
          <w:sz w:val="24"/>
          <w14:textFill>
            <w14:solidFill>
              <w14:schemeClr w14:val="tx1"/>
            </w14:solidFill>
          </w14:textFill>
        </w:rPr>
        <w:t xml:space="preserve"> </w:t>
      </w:r>
      <w:r>
        <w:rPr>
          <w:rFonts w:ascii="Times New Roman" w:hAnsi="Times New Roman" w:eastAsia="仿宋" w:cs="Times New Roman"/>
          <w:bCs/>
          <w:color w:val="000000" w:themeColor="text1"/>
          <w:sz w:val="30"/>
          <w:szCs w:val="30"/>
          <w14:textFill>
            <w14:solidFill>
              <w14:schemeClr w14:val="tx1"/>
            </w14:solidFill>
          </w14:textFill>
        </w:rPr>
        <w:t>长江水资源保护科学研究所</w:t>
      </w:r>
    </w:p>
    <w:p w14:paraId="21F2FBDF">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ascii="Times New Roman" w:hAnsi="Times New Roman" w:eastAsia="仿宋" w:cs="Times New Roman"/>
          <w:color w:val="000000" w:themeColor="text1"/>
          <w:sz w:val="30"/>
          <w:szCs w:val="30"/>
          <w14:textFill>
            <w14:solidFill>
              <w14:schemeClr w14:val="tx1"/>
            </w14:solidFill>
          </w14:textFill>
        </w:rPr>
      </w:pPr>
      <w:r>
        <w:rPr>
          <w:rFonts w:ascii="Times New Roman" w:hAnsi="Times New Roman" w:eastAsia="仿宋" w:cs="Times New Roman"/>
          <w:color w:val="000000" w:themeColor="text1"/>
          <w:sz w:val="30"/>
          <w:szCs w:val="30"/>
          <w14:textFill>
            <w14:solidFill>
              <w14:schemeClr w14:val="tx1"/>
            </w14:solidFill>
          </w14:textFill>
        </w:rPr>
        <w:t xml:space="preserve">    2.</w:t>
      </w:r>
      <w:r>
        <w:rPr>
          <w:rFonts w:ascii="Times New Roman" w:hAnsi="Times New Roman" w:eastAsia="仿宋" w:cs="Times New Roman"/>
          <w:b/>
          <w:bCs/>
          <w:color w:val="000000" w:themeColor="text1"/>
          <w:sz w:val="24"/>
          <w14:textFill>
            <w14:solidFill>
              <w14:schemeClr w14:val="tx1"/>
            </w14:solidFill>
          </w14:textFill>
        </w:rPr>
        <w:t xml:space="preserve"> </w:t>
      </w:r>
      <w:r>
        <w:rPr>
          <w:rFonts w:ascii="Times New Roman" w:hAnsi="Times New Roman" w:eastAsia="仿宋" w:cs="Times New Roman"/>
          <w:bCs/>
          <w:color w:val="000000" w:themeColor="text1"/>
          <w:sz w:val="30"/>
          <w:szCs w:val="30"/>
          <w14:textFill>
            <w14:solidFill>
              <w14:schemeClr w14:val="tx1"/>
            </w14:solidFill>
          </w14:textFill>
        </w:rPr>
        <w:t>中国科学院武汉植物园</w:t>
      </w:r>
    </w:p>
    <w:p w14:paraId="24E728E1">
      <w:pPr>
        <w:keepNext w:val="0"/>
        <w:keepLines w:val="0"/>
        <w:pageBreakBefore w:val="0"/>
        <w:widowControl w:val="0"/>
        <w:kinsoku/>
        <w:wordWrap/>
        <w:overflowPunct/>
        <w:topLinePunct w:val="0"/>
        <w:autoSpaceDE/>
        <w:autoSpaceDN/>
        <w:bidi w:val="0"/>
        <w:adjustRightInd/>
        <w:snapToGrid/>
        <w:spacing w:after="0" w:line="480" w:lineRule="exact"/>
        <w:ind w:firstLine="600" w:firstLineChars="200"/>
        <w:textAlignment w:val="auto"/>
        <w:rPr>
          <w:rFonts w:ascii="Times New Roman" w:hAnsi="Times New Roman" w:eastAsia="仿宋" w:cs="Times New Roman"/>
          <w:bCs/>
          <w:color w:val="000000" w:themeColor="text1"/>
          <w:sz w:val="30"/>
          <w:szCs w:val="30"/>
          <w14:textFill>
            <w14:solidFill>
              <w14:schemeClr w14:val="tx1"/>
            </w14:solidFill>
          </w14:textFill>
        </w:rPr>
      </w:pPr>
      <w:r>
        <w:rPr>
          <w:rFonts w:ascii="Times New Roman" w:hAnsi="Times New Roman" w:eastAsia="仿宋" w:cs="Times New Roman"/>
          <w:color w:val="000000" w:themeColor="text1"/>
          <w:sz w:val="30"/>
          <w:szCs w:val="30"/>
          <w14:textFill>
            <w14:solidFill>
              <w14:schemeClr w14:val="tx1"/>
            </w14:solidFill>
          </w14:textFill>
        </w:rPr>
        <w:t xml:space="preserve">3. </w:t>
      </w:r>
      <w:r>
        <w:rPr>
          <w:rFonts w:ascii="Times New Roman" w:hAnsi="Times New Roman" w:eastAsia="仿宋" w:cs="Times New Roman"/>
          <w:bCs/>
          <w:color w:val="000000" w:themeColor="text1"/>
          <w:sz w:val="30"/>
          <w:szCs w:val="30"/>
          <w14:textFill>
            <w14:solidFill>
              <w14:schemeClr w14:val="tx1"/>
            </w14:solidFill>
          </w14:textFill>
        </w:rPr>
        <w:t>中国科学院精密测量科学与技术创新研究院</w:t>
      </w:r>
    </w:p>
    <w:p w14:paraId="4971AF57">
      <w:pPr>
        <w:keepNext w:val="0"/>
        <w:keepLines w:val="0"/>
        <w:pageBreakBefore w:val="0"/>
        <w:widowControl w:val="0"/>
        <w:kinsoku/>
        <w:wordWrap/>
        <w:overflowPunct/>
        <w:topLinePunct w:val="0"/>
        <w:autoSpaceDE/>
        <w:autoSpaceDN/>
        <w:bidi w:val="0"/>
        <w:adjustRightInd/>
        <w:snapToGrid/>
        <w:spacing w:after="0" w:line="480" w:lineRule="exact"/>
        <w:ind w:firstLine="600" w:firstLineChars="200"/>
        <w:textAlignment w:val="auto"/>
        <w:rPr>
          <w:rFonts w:hint="eastAsia" w:ascii="Times New Roman" w:hAnsi="Times New Roman" w:eastAsia="仿宋" w:cs="Times New Roman"/>
          <w:bCs/>
          <w:color w:val="000000" w:themeColor="text1"/>
          <w:sz w:val="30"/>
          <w:szCs w:val="30"/>
          <w14:textFill>
            <w14:solidFill>
              <w14:schemeClr w14:val="tx1"/>
            </w14:solidFill>
          </w14:textFill>
        </w:rPr>
      </w:pPr>
      <w:r>
        <w:rPr>
          <w:rFonts w:ascii="Times New Roman" w:hAnsi="Times New Roman" w:eastAsia="仿宋" w:cs="Times New Roman"/>
          <w:bCs/>
          <w:color w:val="000000" w:themeColor="text1"/>
          <w:sz w:val="30"/>
          <w:szCs w:val="30"/>
          <w14:textFill>
            <w14:solidFill>
              <w14:schemeClr w14:val="tx1"/>
            </w14:solidFill>
          </w14:textFill>
        </w:rPr>
        <w:t xml:space="preserve">4. </w:t>
      </w:r>
      <w:r>
        <w:rPr>
          <w:rFonts w:hint="eastAsia" w:ascii="Times New Roman" w:hAnsi="Times New Roman" w:eastAsia="仿宋" w:cs="Times New Roman"/>
          <w:bCs/>
          <w:color w:val="000000" w:themeColor="text1"/>
          <w:sz w:val="30"/>
          <w:szCs w:val="30"/>
          <w14:textFill>
            <w14:solidFill>
              <w14:schemeClr w14:val="tx1"/>
            </w14:solidFill>
          </w14:textFill>
        </w:rPr>
        <w:t>中国科学院南京地理与湖泊研究所</w:t>
      </w:r>
    </w:p>
    <w:p w14:paraId="72827841">
      <w:pPr>
        <w:keepNext w:val="0"/>
        <w:keepLines w:val="0"/>
        <w:pageBreakBefore w:val="0"/>
        <w:widowControl w:val="0"/>
        <w:kinsoku/>
        <w:wordWrap/>
        <w:overflowPunct/>
        <w:topLinePunct w:val="0"/>
        <w:autoSpaceDE/>
        <w:autoSpaceDN/>
        <w:bidi w:val="0"/>
        <w:adjustRightInd/>
        <w:snapToGrid/>
        <w:spacing w:after="0" w:line="480" w:lineRule="exact"/>
        <w:ind w:firstLine="600" w:firstLineChars="200"/>
        <w:textAlignment w:val="auto"/>
        <w:rPr>
          <w:rFonts w:hint="eastAsia" w:ascii="Times New Roman" w:hAnsi="Times New Roman" w:eastAsia="仿宋" w:cs="Times New Roman"/>
          <w:bCs/>
          <w:color w:val="000000" w:themeColor="text1"/>
          <w:sz w:val="30"/>
          <w:szCs w:val="30"/>
          <w14:textFill>
            <w14:solidFill>
              <w14:schemeClr w14:val="tx1"/>
            </w14:solidFill>
          </w14:textFill>
        </w:rPr>
      </w:pPr>
      <w:r>
        <w:rPr>
          <w:rFonts w:hint="eastAsia" w:ascii="Times New Roman" w:hAnsi="Times New Roman" w:eastAsia="仿宋" w:cs="Times New Roman"/>
          <w:bCs/>
          <w:color w:val="000000" w:themeColor="text1"/>
          <w:sz w:val="30"/>
          <w:szCs w:val="30"/>
          <w:lang w:val="en-US" w:eastAsia="zh-CN"/>
          <w14:textFill>
            <w14:solidFill>
              <w14:schemeClr w14:val="tx1"/>
            </w14:solidFill>
          </w14:textFill>
        </w:rPr>
        <w:t>5</w:t>
      </w:r>
      <w:r>
        <w:rPr>
          <w:rFonts w:ascii="Times New Roman" w:hAnsi="Times New Roman" w:eastAsia="仿宋" w:cs="Times New Roman"/>
          <w:bCs/>
          <w:color w:val="000000" w:themeColor="text1"/>
          <w:sz w:val="30"/>
          <w:szCs w:val="30"/>
          <w14:textFill>
            <w14:solidFill>
              <w14:schemeClr w14:val="tx1"/>
            </w14:solidFill>
          </w14:textFill>
        </w:rPr>
        <w:t xml:space="preserve">. </w:t>
      </w:r>
      <w:r>
        <w:rPr>
          <w:rFonts w:hint="eastAsia" w:ascii="Times New Roman" w:hAnsi="Times New Roman" w:eastAsia="仿宋" w:cs="Times New Roman"/>
          <w:bCs/>
          <w:color w:val="000000" w:themeColor="text1"/>
          <w:sz w:val="30"/>
          <w:szCs w:val="30"/>
          <w14:textFill>
            <w14:solidFill>
              <w14:schemeClr w14:val="tx1"/>
            </w14:solidFill>
          </w14:textFill>
        </w:rPr>
        <w:t>武汉工程大学</w:t>
      </w:r>
    </w:p>
    <w:p w14:paraId="64650715">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ascii="Times New Roman" w:hAnsi="Times New Roman" w:eastAsia="仿宋" w:cs="Times New Roman"/>
          <w:sz w:val="30"/>
          <w:szCs w:val="30"/>
        </w:rPr>
      </w:pPr>
      <w:r>
        <w:rPr>
          <w:rFonts w:ascii="Times New Roman" w:hAnsi="Times New Roman" w:eastAsia="黑体" w:cs="Times New Roman"/>
          <w:sz w:val="30"/>
          <w:szCs w:val="30"/>
        </w:rPr>
        <w:t>主要完成人及排序：</w:t>
      </w:r>
    </w:p>
    <w:p w14:paraId="31FB7B1A">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ascii="Times New Roman" w:hAnsi="Times New Roman" w:eastAsia="仿宋" w:cs="Times New Roman"/>
          <w:color w:val="FF0000"/>
          <w:sz w:val="30"/>
          <w:szCs w:val="30"/>
        </w:rPr>
      </w:pPr>
      <w:r>
        <w:rPr>
          <w:rFonts w:ascii="Times New Roman" w:hAnsi="Times New Roman" w:eastAsia="仿宋" w:cs="Times New Roman"/>
          <w:color w:val="FF0000"/>
          <w:sz w:val="30"/>
          <w:szCs w:val="30"/>
        </w:rPr>
        <w:t xml:space="preserve">    </w:t>
      </w:r>
      <w:r>
        <w:rPr>
          <w:rFonts w:ascii="Times New Roman" w:hAnsi="Times New Roman" w:eastAsia="仿宋" w:cs="Times New Roman"/>
          <w:bCs/>
          <w:color w:val="000000" w:themeColor="text1"/>
          <w:sz w:val="30"/>
          <w:szCs w:val="30"/>
          <w14:textFill>
            <w14:solidFill>
              <w14:schemeClr w14:val="tx1"/>
            </w14:solidFill>
          </w14:textFill>
        </w:rPr>
        <w:t>1江波 2刘文治 3班璇 4</w:t>
      </w:r>
      <w:r>
        <w:rPr>
          <w:rFonts w:hint="eastAsia" w:ascii="Times New Roman" w:hAnsi="Times New Roman" w:eastAsia="仿宋" w:cs="Times New Roman"/>
          <w:bCs/>
          <w:color w:val="000000" w:themeColor="text1"/>
          <w:sz w:val="30"/>
          <w:szCs w:val="30"/>
          <w14:textFill>
            <w14:solidFill>
              <w14:schemeClr w14:val="tx1"/>
            </w14:solidFill>
          </w14:textFill>
        </w:rPr>
        <w:t>徐昔保</w:t>
      </w:r>
      <w:r>
        <w:rPr>
          <w:rFonts w:ascii="Times New Roman" w:hAnsi="Times New Roman" w:eastAsia="仿宋" w:cs="Times New Roman"/>
          <w:bCs/>
          <w:color w:val="000000" w:themeColor="text1"/>
          <w:sz w:val="30"/>
          <w:szCs w:val="30"/>
          <w14:textFill>
            <w14:solidFill>
              <w14:schemeClr w14:val="tx1"/>
            </w14:solidFill>
          </w14:textFill>
        </w:rPr>
        <w:t xml:space="preserve"> 5</w:t>
      </w:r>
      <w:r>
        <w:rPr>
          <w:rFonts w:hint="eastAsia" w:ascii="Times New Roman" w:hAnsi="Times New Roman" w:eastAsia="仿宋" w:cs="Times New Roman"/>
          <w:bCs/>
          <w:color w:val="000000" w:themeColor="text1"/>
          <w:sz w:val="30"/>
          <w:szCs w:val="30"/>
          <w14:textFill>
            <w14:solidFill>
              <w14:schemeClr w14:val="tx1"/>
            </w14:solidFill>
          </w14:textFill>
        </w:rPr>
        <w:t>李思悦</w:t>
      </w:r>
    </w:p>
    <w:p w14:paraId="4AE19A8C">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ascii="Times New Roman" w:hAnsi="Times New Roman" w:eastAsia="黑体" w:cs="Times New Roman"/>
          <w:sz w:val="30"/>
          <w:szCs w:val="30"/>
        </w:rPr>
      </w:pPr>
      <w:r>
        <w:rPr>
          <w:rFonts w:ascii="Times New Roman" w:hAnsi="Times New Roman" w:eastAsia="黑体" w:cs="Times New Roman"/>
          <w:sz w:val="30"/>
          <w:szCs w:val="30"/>
        </w:rPr>
        <w:t>成果创新点：</w:t>
      </w:r>
    </w:p>
    <w:p w14:paraId="1ECA0191">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hint="eastAsia" w:ascii="Times New Roman" w:hAnsi="Times New Roman" w:eastAsia="仿宋" w:cs="Times New Roman"/>
          <w:color w:val="000000" w:themeColor="text1"/>
          <w:sz w:val="30"/>
          <w:szCs w:val="30"/>
          <w14:textFill>
            <w14:solidFill>
              <w14:schemeClr w14:val="tx1"/>
            </w14:solidFill>
          </w14:textFill>
        </w:rPr>
      </w:pPr>
      <w:r>
        <w:rPr>
          <w:rFonts w:ascii="Times New Roman" w:hAnsi="Times New Roman" w:eastAsia="仿宋" w:cs="Times New Roman"/>
          <w:color w:val="000000" w:themeColor="text1"/>
          <w:sz w:val="30"/>
          <w:szCs w:val="30"/>
          <w14:textFill>
            <w14:solidFill>
              <w14:schemeClr w14:val="tx1"/>
            </w14:solidFill>
          </w14:textFill>
        </w:rPr>
        <w:t xml:space="preserve">    （1）</w:t>
      </w:r>
      <w:r>
        <w:rPr>
          <w:rFonts w:hint="eastAsia" w:ascii="Times New Roman" w:hAnsi="Times New Roman" w:eastAsia="仿宋" w:cs="Times New Roman"/>
          <w:color w:val="000000" w:themeColor="text1"/>
          <w:sz w:val="30"/>
          <w:szCs w:val="30"/>
          <w14:textFill>
            <w14:solidFill>
              <w14:schemeClr w14:val="tx1"/>
            </w14:solidFill>
          </w14:textFill>
        </w:rPr>
        <w:t>基于自然参照点，构建了回顾性评价与对比分析相结合的方法框架，系统解析了重大水利工程蓄水运行后主要环境因子的演变规律，定量揭示了水文变化对底栖生物与鱼类产卵场适宜生境时空格局的调控机制，阐明了产卵场生境在维持鱼类生物多样性中的关键功能与阈值效应，为水生生物多样性保护提供了科技支撑。</w:t>
      </w:r>
    </w:p>
    <w:p w14:paraId="541C2F94">
      <w:pPr>
        <w:keepNext w:val="0"/>
        <w:keepLines w:val="0"/>
        <w:pageBreakBefore w:val="0"/>
        <w:widowControl w:val="0"/>
        <w:kinsoku/>
        <w:wordWrap/>
        <w:overflowPunct/>
        <w:topLinePunct w:val="0"/>
        <w:autoSpaceDE/>
        <w:autoSpaceDN/>
        <w:bidi w:val="0"/>
        <w:adjustRightInd/>
        <w:snapToGrid/>
        <w:spacing w:after="0" w:line="480" w:lineRule="exact"/>
        <w:ind w:firstLine="609"/>
        <w:textAlignment w:val="auto"/>
        <w:rPr>
          <w:rFonts w:hint="eastAsia" w:ascii="Times New Roman" w:hAnsi="Times New Roman" w:eastAsia="仿宋" w:cs="Times New Roman"/>
          <w:color w:val="000000" w:themeColor="text1"/>
          <w:sz w:val="30"/>
          <w:szCs w:val="30"/>
          <w14:textFill>
            <w14:solidFill>
              <w14:schemeClr w14:val="tx1"/>
            </w14:solidFill>
          </w14:textFill>
        </w:rPr>
      </w:pPr>
      <w:r>
        <w:rPr>
          <w:rFonts w:ascii="Times New Roman" w:hAnsi="Times New Roman" w:eastAsia="仿宋" w:cs="Times New Roman"/>
          <w:color w:val="000000" w:themeColor="text1"/>
          <w:sz w:val="30"/>
          <w:szCs w:val="30"/>
          <w14:textFill>
            <w14:solidFill>
              <w14:schemeClr w14:val="tx1"/>
            </w14:solidFill>
          </w14:textFill>
        </w:rPr>
        <w:t>（2）</w:t>
      </w:r>
      <w:r>
        <w:rPr>
          <w:rFonts w:hint="eastAsia" w:ascii="Times New Roman" w:hAnsi="Times New Roman" w:eastAsia="仿宋" w:cs="Times New Roman"/>
          <w:color w:val="000000" w:themeColor="text1"/>
          <w:sz w:val="30"/>
          <w:szCs w:val="30"/>
          <w14:textFill>
            <w14:solidFill>
              <w14:schemeClr w14:val="tx1"/>
            </w14:solidFill>
          </w14:textFill>
        </w:rPr>
        <w:t>集成野外观测、温室控制实验与统计模型分析等多种方法，揭示了河岸带与水库消落带湿地植被特征的显著分异规律，阐明了水文变化对河流植物群落结构的影响机理，明确了植物在河流氮、磷循环关键过程中的重要调控功能，提出了将河岸栖息地质量作为土地利用/覆盖对河流水质净化功能影响的综合代理指标，为河流植物多样性及水质净化功能保护与恢复提供了科学依据。</w:t>
      </w:r>
    </w:p>
    <w:p w14:paraId="5FCEB114">
      <w:pPr>
        <w:keepNext w:val="0"/>
        <w:keepLines w:val="0"/>
        <w:pageBreakBefore w:val="0"/>
        <w:widowControl w:val="0"/>
        <w:kinsoku/>
        <w:wordWrap/>
        <w:overflowPunct/>
        <w:topLinePunct w:val="0"/>
        <w:autoSpaceDE/>
        <w:autoSpaceDN/>
        <w:bidi w:val="0"/>
        <w:adjustRightInd/>
        <w:snapToGrid/>
        <w:spacing w:after="0" w:line="480" w:lineRule="exact"/>
        <w:ind w:firstLine="609"/>
        <w:textAlignment w:val="auto"/>
        <w:rPr>
          <w:rFonts w:hint="eastAsia" w:ascii="Times New Roman" w:hAnsi="Times New Roman" w:eastAsia="仿宋" w:cs="Times New Roman"/>
          <w:color w:val="000000" w:themeColor="text1"/>
          <w:sz w:val="30"/>
          <w:szCs w:val="30"/>
          <w14:textFill>
            <w14:solidFill>
              <w14:schemeClr w14:val="tx1"/>
            </w14:solidFill>
          </w14:textFill>
        </w:rPr>
      </w:pPr>
      <w:r>
        <w:rPr>
          <w:rFonts w:ascii="Times New Roman" w:hAnsi="Times New Roman" w:eastAsia="仿宋" w:cs="Times New Roman"/>
          <w:color w:val="000000" w:themeColor="text1"/>
          <w:sz w:val="30"/>
          <w:szCs w:val="30"/>
          <w14:textFill>
            <w14:solidFill>
              <w14:schemeClr w14:val="tx1"/>
            </w14:solidFill>
          </w14:textFill>
        </w:rPr>
        <w:t>（3）</w:t>
      </w:r>
      <w:r>
        <w:rPr>
          <w:rFonts w:hint="eastAsia" w:ascii="Times New Roman" w:hAnsi="Times New Roman" w:eastAsia="仿宋" w:cs="Times New Roman"/>
          <w:color w:val="000000" w:themeColor="text1"/>
          <w:sz w:val="30"/>
          <w:szCs w:val="30"/>
          <w14:textFill>
            <w14:solidFill>
              <w14:schemeClr w14:val="tx1"/>
            </w14:solidFill>
          </w14:textFill>
        </w:rPr>
        <w:t>构建了关键生态结构、过程与最终服务指标的度量方法体系，揭示了生态廊道水源配置对关键水文因子的调控机制，探明了水文驱动下关键生态结构、过程与服务之间的因果级联关系及权衡协同模式，为实现管理目标导向的生态系统服务协同提升提供了理论与方法支撑。</w:t>
      </w:r>
    </w:p>
    <w:p w14:paraId="6E30F25D">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hint="eastAsia"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成果基本信息：</w:t>
      </w:r>
    </w:p>
    <w:p w14:paraId="6BE7C081">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left"/>
        <w:textAlignment w:val="auto"/>
        <w:rPr>
          <w:rFonts w:ascii="Times New Roman" w:hAnsi="Times New Roman" w:eastAsia="仿宋" w:cs="Times New Roman"/>
          <w:kern w:val="0"/>
          <w:sz w:val="30"/>
          <w:szCs w:val="30"/>
          <w:lang w:val="en-US" w:eastAsia="zh-CN" w:bidi="ar-SA"/>
        </w:rPr>
      </w:pPr>
      <w:r>
        <w:rPr>
          <w:rFonts w:hint="eastAsia" w:ascii="Times New Roman" w:hAnsi="Times New Roman" w:eastAsia="仿宋" w:cs="Times New Roman"/>
          <w:kern w:val="0"/>
          <w:sz w:val="30"/>
          <w:szCs w:val="30"/>
          <w:lang w:val="en-US" w:eastAsia="zh-CN" w:bidi="ar-SA"/>
        </w:rPr>
        <w:t>水文过程是塑造河流生态系统结构与功能的核心驱动力。近年来，随着社会经济快速发展和人类活动强度持续加大，河流水文情势发生显著改变，引发河道断流、生境退化、生物多样性下降以及生态系统稳定性减弱等一系列突出问题。为恢复和改善河流生态系统结构与功能，提升其生态系统服务水平，亟需系统揭示水文驱动下关键生物类群及生态过程的响应规律，阐明不同生态系统服务之间权衡与协同的内在机制，从而为河流生态保护与治理提供科学依据，推动实现河流永续利用及社会—经济—生态效益协同提升。</w:t>
      </w:r>
    </w:p>
    <w:p w14:paraId="6538EF8C">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left"/>
        <w:textAlignment w:val="auto"/>
        <w:rPr>
          <w:rFonts w:hint="default" w:ascii="Times New Roman" w:hAnsi="Times New Roman" w:eastAsia="仿宋" w:cs="Times New Roman"/>
          <w:sz w:val="30"/>
          <w:szCs w:val="30"/>
          <w:lang w:val="en-US" w:eastAsia="zh-CN"/>
        </w:rPr>
      </w:pPr>
      <w:r>
        <w:rPr>
          <w:rFonts w:hint="eastAsia" w:ascii="Times New Roman" w:hAnsi="Times New Roman" w:eastAsia="仿宋" w:cs="Times New Roman"/>
          <w:kern w:val="0"/>
          <w:sz w:val="30"/>
          <w:szCs w:val="30"/>
          <w:lang w:val="en-US" w:eastAsia="zh-CN" w:bidi="ar-SA"/>
        </w:rPr>
        <w:t>项目属于水利科学与生态学交叉领域的基础研究范畴。项目团队在国家自然科学基金优秀青年科学基金、面上项目、青年基金等重要项目支持下，以“探明现象—揭示规律—阐明机制”为研究主线，围绕水文驱动下河流关键生物类群及主导生态服务响应机制开展了系统性研究，取得了多项原创性成果。</w:t>
      </w:r>
    </w:p>
    <w:p w14:paraId="771EEC00">
      <w:pPr>
        <w:keepNext w:val="0"/>
        <w:keepLines w:val="0"/>
        <w:pageBreakBefore w:val="0"/>
        <w:widowControl w:val="0"/>
        <w:kinsoku/>
        <w:wordWrap/>
        <w:overflowPunct/>
        <w:topLinePunct w:val="0"/>
        <w:autoSpaceDE/>
        <w:autoSpaceDN/>
        <w:bidi w:val="0"/>
        <w:adjustRightInd/>
        <w:snapToGrid/>
        <w:spacing w:after="0" w:line="480" w:lineRule="exact"/>
        <w:ind w:firstLine="609"/>
        <w:textAlignment w:val="auto"/>
        <w:rPr>
          <w:rFonts w:hint="eastAsia"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仿宋" w:cs="Times New Roman"/>
          <w:sz w:val="30"/>
          <w:szCs w:val="30"/>
          <w:lang w:val="en-US" w:eastAsia="zh-CN"/>
        </w:rPr>
        <w:t>六</w:t>
      </w:r>
      <w:r>
        <w:rPr>
          <w:rFonts w:hint="eastAsia" w:ascii="Times New Roman" w:hAnsi="Times New Roman" w:eastAsia="仿宋" w:cs="Times New Roman"/>
          <w:sz w:val="30"/>
          <w:szCs w:val="30"/>
        </w:rPr>
        <w:t>篇代表性论文发表在</w:t>
      </w:r>
      <w:r>
        <w:rPr>
          <w:rFonts w:hint="eastAsia" w:ascii="Times New Roman" w:hAnsi="Times New Roman" w:eastAsia="仿宋" w:cs="Times New Roman"/>
          <w:i/>
          <w:iCs/>
          <w:sz w:val="30"/>
          <w:szCs w:val="30"/>
        </w:rPr>
        <w:t>Earth-Science Reviews</w:t>
      </w:r>
      <w:r>
        <w:rPr>
          <w:rFonts w:hint="eastAsia" w:ascii="Times New Roman" w:hAnsi="Times New Roman" w:eastAsia="仿宋" w:cs="Times New Roman"/>
          <w:sz w:val="30"/>
          <w:szCs w:val="30"/>
        </w:rPr>
        <w:t>、</w:t>
      </w:r>
      <w:r>
        <w:rPr>
          <w:rFonts w:hint="eastAsia" w:ascii="Times New Roman" w:hAnsi="Times New Roman" w:eastAsia="仿宋" w:cs="Times New Roman"/>
          <w:i/>
          <w:iCs/>
          <w:sz w:val="30"/>
          <w:szCs w:val="30"/>
        </w:rPr>
        <w:t>Water Resources Research</w:t>
      </w:r>
      <w:r>
        <w:rPr>
          <w:rFonts w:hint="eastAsia" w:ascii="Times New Roman" w:hAnsi="Times New Roman" w:eastAsia="仿宋" w:cs="Times New Roman"/>
          <w:sz w:val="30"/>
          <w:szCs w:val="30"/>
        </w:rPr>
        <w:t>、</w:t>
      </w:r>
      <w:r>
        <w:rPr>
          <w:rFonts w:hint="eastAsia" w:ascii="Times New Roman" w:hAnsi="Times New Roman" w:eastAsia="仿宋" w:cs="Times New Roman"/>
          <w:i/>
          <w:iCs/>
          <w:sz w:val="30"/>
          <w:szCs w:val="30"/>
        </w:rPr>
        <w:t>Environmental Science &amp; Technology</w:t>
      </w:r>
      <w:r>
        <w:rPr>
          <w:rFonts w:hint="eastAsia" w:ascii="Times New Roman" w:hAnsi="Times New Roman" w:eastAsia="仿宋" w:cs="Times New Roman"/>
          <w:sz w:val="30"/>
          <w:szCs w:val="30"/>
        </w:rPr>
        <w:t>、</w:t>
      </w:r>
      <w:r>
        <w:rPr>
          <w:rFonts w:hint="eastAsia" w:ascii="Times New Roman" w:hAnsi="Times New Roman" w:eastAsia="仿宋" w:cs="Times New Roman"/>
          <w:i/>
          <w:iCs/>
          <w:sz w:val="30"/>
          <w:szCs w:val="30"/>
        </w:rPr>
        <w:t>Journal of Hydrology</w:t>
      </w:r>
      <w:r>
        <w:rPr>
          <w:rFonts w:hint="eastAsia" w:ascii="Times New Roman" w:hAnsi="Times New Roman" w:eastAsia="仿宋" w:cs="Times New Roman"/>
          <w:sz w:val="30"/>
          <w:szCs w:val="30"/>
        </w:rPr>
        <w:t>、</w:t>
      </w:r>
      <w:r>
        <w:rPr>
          <w:rFonts w:hint="eastAsia" w:ascii="Times New Roman" w:hAnsi="Times New Roman" w:eastAsia="仿宋" w:cs="Times New Roman"/>
          <w:i/>
          <w:iCs/>
          <w:sz w:val="30"/>
          <w:szCs w:val="30"/>
          <w:lang w:val="en-US" w:eastAsia="zh-CN"/>
        </w:rPr>
        <w:t>Geography and Sustainability</w:t>
      </w:r>
      <w:r>
        <w:rPr>
          <w:rFonts w:hint="eastAsia" w:ascii="Times New Roman" w:hAnsi="Times New Roman" w:eastAsia="仿宋" w:cs="Times New Roman"/>
          <w:sz w:val="30"/>
          <w:szCs w:val="30"/>
        </w:rPr>
        <w:t>等</w:t>
      </w:r>
      <w:r>
        <w:rPr>
          <w:rFonts w:hint="eastAsia" w:ascii="Times New Roman" w:hAnsi="Times New Roman" w:eastAsia="仿宋" w:cs="Times New Roman"/>
          <w:sz w:val="30"/>
          <w:szCs w:val="30"/>
          <w:lang w:eastAsia="zh-CN"/>
        </w:rPr>
        <w:t>国</w:t>
      </w:r>
      <w:r>
        <w:rPr>
          <w:rFonts w:hint="eastAsia" w:ascii="Times New Roman" w:hAnsi="Times New Roman" w:eastAsia="仿宋" w:cs="Times New Roman"/>
          <w:sz w:val="30"/>
          <w:szCs w:val="30"/>
          <w:lang w:val="en-US" w:eastAsia="zh-CN"/>
        </w:rPr>
        <w:t>内外</w:t>
      </w:r>
      <w:r>
        <w:rPr>
          <w:rFonts w:hint="eastAsia" w:ascii="Times New Roman" w:hAnsi="Times New Roman" w:eastAsia="仿宋" w:cs="Times New Roman"/>
          <w:sz w:val="30"/>
          <w:szCs w:val="30"/>
        </w:rPr>
        <w:t>权威期刊，被</w:t>
      </w:r>
      <w:r>
        <w:rPr>
          <w:rFonts w:hint="eastAsia" w:ascii="Times New Roman" w:hAnsi="Times New Roman" w:eastAsia="仿宋" w:cs="Times New Roman"/>
          <w:i/>
          <w:iCs/>
          <w:sz w:val="30"/>
          <w:szCs w:val="30"/>
        </w:rPr>
        <w:t>Nature Reviews Earth &amp; Environment</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i/>
          <w:iCs/>
          <w:sz w:val="30"/>
          <w:szCs w:val="30"/>
        </w:rPr>
        <w:t>National Science Review</w:t>
      </w:r>
      <w:r>
        <w:rPr>
          <w:rFonts w:hint="eastAsia" w:ascii="Times New Roman" w:hAnsi="Times New Roman" w:eastAsia="仿宋" w:cs="Times New Roman"/>
          <w:sz w:val="30"/>
          <w:szCs w:val="30"/>
        </w:rPr>
        <w:t>、</w:t>
      </w:r>
      <w:r>
        <w:rPr>
          <w:rFonts w:hint="eastAsia" w:ascii="Times New Roman" w:hAnsi="Times New Roman" w:eastAsia="仿宋" w:cs="Times New Roman"/>
          <w:i/>
          <w:iCs/>
          <w:sz w:val="30"/>
          <w:szCs w:val="30"/>
        </w:rPr>
        <w:t>Environmental Science &amp; Ecotechnology</w:t>
      </w:r>
      <w:r>
        <w:rPr>
          <w:rFonts w:hint="eastAsia" w:ascii="Times New Roman" w:hAnsi="Times New Roman" w:eastAsia="仿宋" w:cs="Times New Roman"/>
          <w:sz w:val="30"/>
          <w:szCs w:val="30"/>
        </w:rPr>
        <w:t>、</w:t>
      </w:r>
      <w:r>
        <w:rPr>
          <w:rFonts w:hint="eastAsia" w:ascii="Times New Roman" w:hAnsi="Times New Roman" w:eastAsia="仿宋" w:cs="Times New Roman"/>
          <w:i/>
          <w:iCs/>
          <w:sz w:val="30"/>
          <w:szCs w:val="30"/>
        </w:rPr>
        <w:t>Global Change Biology</w:t>
      </w:r>
      <w:r>
        <w:rPr>
          <w:rFonts w:hint="eastAsia" w:ascii="Times New Roman" w:hAnsi="Times New Roman" w:eastAsia="仿宋" w:cs="Times New Roman"/>
          <w:sz w:val="30"/>
          <w:szCs w:val="30"/>
        </w:rPr>
        <w:t>、</w:t>
      </w:r>
      <w:r>
        <w:rPr>
          <w:rFonts w:hint="eastAsia" w:ascii="Times New Roman" w:hAnsi="Times New Roman" w:eastAsia="仿宋" w:cs="Times New Roman"/>
          <w:i/>
          <w:iCs/>
          <w:sz w:val="30"/>
          <w:szCs w:val="30"/>
        </w:rPr>
        <w:t>Water Resources Research</w:t>
      </w:r>
      <w:r>
        <w:rPr>
          <w:rFonts w:hint="eastAsia" w:ascii="Times New Roman" w:hAnsi="Times New Roman" w:eastAsia="仿宋" w:cs="Times New Roman"/>
          <w:sz w:val="30"/>
          <w:szCs w:val="30"/>
        </w:rPr>
        <w:t>、</w:t>
      </w:r>
      <w:r>
        <w:rPr>
          <w:rFonts w:hint="eastAsia" w:ascii="Times New Roman" w:hAnsi="Times New Roman" w:eastAsia="仿宋" w:cs="Times New Roman"/>
          <w:i/>
          <w:iCs/>
          <w:sz w:val="30"/>
          <w:szCs w:val="30"/>
        </w:rPr>
        <w:t>Earth’s Future</w:t>
      </w:r>
      <w:r>
        <w:rPr>
          <w:rFonts w:hint="eastAsia" w:ascii="Times New Roman" w:hAnsi="Times New Roman" w:eastAsia="仿宋" w:cs="Times New Roman"/>
          <w:sz w:val="30"/>
          <w:szCs w:val="30"/>
        </w:rPr>
        <w:t>、</w:t>
      </w:r>
      <w:r>
        <w:rPr>
          <w:rFonts w:hint="eastAsia" w:ascii="Times New Roman" w:hAnsi="Times New Roman" w:eastAsia="仿宋" w:cs="Times New Roman"/>
          <w:i/>
          <w:iCs/>
          <w:sz w:val="30"/>
          <w:szCs w:val="30"/>
        </w:rPr>
        <w:t>Water Research、Earth-Science Reviews</w:t>
      </w:r>
      <w:r>
        <w:rPr>
          <w:rFonts w:hint="eastAsia" w:ascii="Times New Roman" w:hAnsi="Times New Roman" w:eastAsia="仿宋" w:cs="Times New Roman"/>
          <w:i/>
          <w:iCs/>
          <w:sz w:val="30"/>
          <w:szCs w:val="30"/>
          <w:lang w:eastAsia="zh-CN"/>
        </w:rPr>
        <w:t>、</w:t>
      </w:r>
      <w:r>
        <w:rPr>
          <w:rFonts w:hint="eastAsia" w:ascii="Times New Roman" w:hAnsi="Times New Roman" w:eastAsia="仿宋" w:cs="Times New Roman"/>
          <w:i/>
          <w:iCs/>
          <w:sz w:val="30"/>
          <w:szCs w:val="30"/>
        </w:rPr>
        <w:t>Renewable &amp; Sustainable Energy Review</w:t>
      </w:r>
      <w:r>
        <w:rPr>
          <w:rFonts w:hint="eastAsia" w:ascii="Times New Roman" w:hAnsi="Times New Roman" w:eastAsia="仿宋" w:cs="Times New Roman"/>
          <w:sz w:val="30"/>
          <w:szCs w:val="30"/>
        </w:rPr>
        <w:t>s等国际顶级期刊正面他引</w:t>
      </w:r>
      <w:r>
        <w:rPr>
          <w:rFonts w:hint="eastAsia" w:ascii="Times New Roman" w:hAnsi="Times New Roman" w:eastAsia="仿宋" w:cs="Times New Roman"/>
          <w:sz w:val="30"/>
          <w:szCs w:val="30"/>
          <w:lang w:val="en-US" w:eastAsia="zh-CN"/>
        </w:rPr>
        <w:t>507</w:t>
      </w:r>
      <w:r>
        <w:rPr>
          <w:rFonts w:hint="eastAsia" w:ascii="Times New Roman" w:hAnsi="Times New Roman" w:eastAsia="仿宋" w:cs="Times New Roman"/>
          <w:sz w:val="30"/>
          <w:szCs w:val="30"/>
        </w:rPr>
        <w:t>次（Web of Science），在国际上产生了重要影响。项目主要完成人获批中国科学院“百人计划（A类）”择优项目</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rPr>
        <w:t>国家自然科学基金优秀青年科学基金、国家自然科学基金区域创新发展联合基金项目</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lang w:val="en-US" w:eastAsia="zh-CN"/>
        </w:rPr>
        <w:t>湖北省微生物产业重大专项项目等</w:t>
      </w:r>
      <w:r>
        <w:rPr>
          <w:rFonts w:hint="eastAsia" w:ascii="Times New Roman" w:hAnsi="Times New Roman" w:eastAsia="仿宋" w:cs="Times New Roman"/>
          <w:sz w:val="30"/>
          <w:szCs w:val="30"/>
        </w:rPr>
        <w:t>。</w:t>
      </w:r>
      <w:r>
        <w:rPr>
          <w:rFonts w:ascii="Times New Roman" w:hAnsi="Times New Roman" w:eastAsia="仿宋"/>
          <w:sz w:val="24"/>
          <w:szCs w:val="24"/>
        </w:rPr>
        <w:t xml:space="preserve"> </w:t>
      </w:r>
      <w:r>
        <w:rPr>
          <w:rFonts w:hint="eastAsia" w:ascii="Times New Roman" w:hAnsi="Times New Roman" w:eastAsia="仿宋" w:cs="仿宋"/>
          <w:sz w:val="30"/>
          <w:lang w:val="en-US" w:eastAsia="zh-CN"/>
        </w:rPr>
        <w:t xml:space="preserve"> </w:t>
      </w:r>
    </w:p>
    <w:p w14:paraId="5BDF2BB2">
      <w:bookmarkStart w:id="0" w:name="_GoBack"/>
      <w:bookmarkEnd w:id="0"/>
    </w:p>
    <w:p w14:paraId="6056849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096C22"/>
    <w:rsid w:val="6B096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2026-08-13T08:30:00Z</dcterms:created>
  <dc:creator>Anita胖乎乎圆滚滚୨୧</dc:creator>
  <cp:lastModifiedBy>Anita胖乎乎圆滚滚୨୧</cp:lastModifiedBy>
  <dcterms:modified xsi:type="dcterms:W3CDTF">2026-08-13T08:31:07Z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C724D519144A4D7A9398FDE18A9AEDF8_11</vt:lpwstr>
  </property>
  <property fmtid="{D5CDD505-2E9C-101B-9397-08002B2CF9AE}" pid="4" name="KSOTemplateDocerSaveRecord">
    <vt:lpwstr>eyJoZGlkIjoiYzEyZTRjMGZjMmRiMTM1NDdlNDc5NzNiYTExYWJiNzEiLCJ1c2VySWQiOiI1MTM5NTIyMTcifQ==</vt:lpwstr>
  </property>
</Properties>
</file>